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895DB" w14:textId="6FA034B8" w:rsidR="009C1867" w:rsidRPr="00CE65D4" w:rsidRDefault="00CE65D4" w:rsidP="009C1867">
      <w:pPr>
        <w:pStyle w:val="Nagwek3"/>
        <w:ind w:left="142"/>
        <w:rPr>
          <w:rFonts w:asciiTheme="minorHAnsi" w:hAnsiTheme="minorHAnsi"/>
          <w:sz w:val="22"/>
          <w:szCs w:val="22"/>
        </w:rPr>
      </w:pPr>
      <w:r w:rsidRPr="00CE65D4">
        <w:rPr>
          <w:b w:val="0"/>
        </w:rPr>
        <w:t xml:space="preserve">BGGN.271.06.2018.SB – załącznik </w:t>
      </w:r>
      <w:r w:rsidRPr="00CE65D4">
        <w:rPr>
          <w:b w:val="0"/>
        </w:rPr>
        <w:t>nr 4</w:t>
      </w:r>
    </w:p>
    <w:p w14:paraId="11A9A2D1" w14:textId="77777777" w:rsidR="009C1867" w:rsidRDefault="009C1867" w:rsidP="009C1867">
      <w:pPr>
        <w:pStyle w:val="Nagwek3"/>
        <w:ind w:left="142"/>
        <w:rPr>
          <w:rFonts w:asciiTheme="minorHAnsi" w:hAnsiTheme="minorHAnsi"/>
          <w:sz w:val="22"/>
          <w:szCs w:val="22"/>
        </w:rPr>
      </w:pPr>
    </w:p>
    <w:p w14:paraId="1225FFE4" w14:textId="77777777" w:rsidR="009C1867" w:rsidRPr="003A4991" w:rsidRDefault="009C1867" w:rsidP="009C1867">
      <w:pPr>
        <w:pStyle w:val="Nagwek3"/>
        <w:ind w:left="142"/>
        <w:rPr>
          <w:rFonts w:asciiTheme="minorHAnsi" w:hAnsiTheme="minorHAnsi"/>
          <w:sz w:val="22"/>
          <w:szCs w:val="22"/>
        </w:rPr>
      </w:pPr>
      <w:r w:rsidRPr="003A4991">
        <w:rPr>
          <w:rFonts w:asciiTheme="minorHAnsi" w:hAnsiTheme="minorHAnsi"/>
          <w:sz w:val="22"/>
          <w:szCs w:val="22"/>
        </w:rPr>
        <w:t>Załączn</w:t>
      </w:r>
      <w:bookmarkStart w:id="0" w:name="_GoBack"/>
      <w:bookmarkEnd w:id="0"/>
      <w:r w:rsidRPr="003A4991">
        <w:rPr>
          <w:rFonts w:asciiTheme="minorHAnsi" w:hAnsiTheme="minorHAnsi"/>
          <w:sz w:val="22"/>
          <w:szCs w:val="22"/>
        </w:rPr>
        <w:t xml:space="preserve">ik nr 4 do SIWZ - </w:t>
      </w:r>
      <w:r w:rsidRPr="003A4991">
        <w:rPr>
          <w:rFonts w:asciiTheme="minorHAnsi" w:hAnsiTheme="minorHAnsi"/>
          <w:b w:val="0"/>
          <w:sz w:val="22"/>
          <w:szCs w:val="22"/>
        </w:rPr>
        <w:t>OPIS PRZEDMIOTU ZAMÓWIENIA –</w:t>
      </w:r>
      <w:r w:rsidRPr="003A4991">
        <w:rPr>
          <w:rFonts w:asciiTheme="minorHAnsi" w:hAnsiTheme="minorHAnsi"/>
          <w:sz w:val="22"/>
          <w:szCs w:val="22"/>
        </w:rPr>
        <w:t xml:space="preserve"> Ubezpieczenie szyb i innych przedmiotów szklanych od stłuczenia</w:t>
      </w:r>
    </w:p>
    <w:p w14:paraId="56D69B4E" w14:textId="77777777" w:rsidR="009C1867" w:rsidRPr="003A4991" w:rsidRDefault="009C1867" w:rsidP="009C1867">
      <w:pPr>
        <w:pStyle w:val="Wcicienormalne"/>
        <w:rPr>
          <w:rFonts w:asciiTheme="minorHAnsi" w:hAnsiTheme="minorHAnsi" w:cs="Tahoma"/>
          <w:sz w:val="22"/>
          <w:szCs w:val="22"/>
        </w:rPr>
      </w:pPr>
    </w:p>
    <w:p w14:paraId="0210D223" w14:textId="77777777" w:rsidR="009C1867" w:rsidRPr="003A4991" w:rsidRDefault="009C1867" w:rsidP="009C1867">
      <w:pPr>
        <w:ind w:left="425"/>
        <w:rPr>
          <w:rFonts w:cs="Tahoma"/>
          <w:b/>
          <w:bCs/>
          <w:i/>
          <w:iCs/>
        </w:rPr>
      </w:pPr>
    </w:p>
    <w:p w14:paraId="5A5A312D" w14:textId="77777777" w:rsidR="009C1867" w:rsidRPr="003A4991" w:rsidRDefault="009C1867" w:rsidP="009C1867">
      <w:pPr>
        <w:ind w:left="1134" w:hanging="992"/>
        <w:jc w:val="both"/>
        <w:rPr>
          <w:rFonts w:cs="Times New Roman"/>
        </w:rPr>
      </w:pPr>
      <w:r w:rsidRPr="003A4991">
        <w:rPr>
          <w:rFonts w:cs="Times New Roman"/>
          <w:b/>
          <w:bCs/>
          <w:iCs/>
        </w:rPr>
        <w:t>UWAGA:</w:t>
      </w:r>
      <w:r w:rsidRPr="003A4991">
        <w:rPr>
          <w:rFonts w:cs="Times New Roman"/>
          <w:iCs/>
        </w:rPr>
        <w:t xml:space="preserve"> Ubezpieczenie dotyczy wszystkich jednostek wymienionych w załączniku nr 1 do SIWZ oraz w innych załącznikach oraz każdej lokalizacji, w której te jednostki prowadzą działalność</w:t>
      </w:r>
      <w:r w:rsidRPr="003A4991">
        <w:rPr>
          <w:rFonts w:cs="Times New Roman"/>
        </w:rPr>
        <w:t>.</w:t>
      </w:r>
    </w:p>
    <w:p w14:paraId="511D687C" w14:textId="77777777" w:rsidR="009C1867" w:rsidRPr="003A4991" w:rsidRDefault="009C1867" w:rsidP="009C1867">
      <w:pPr>
        <w:ind w:left="425"/>
        <w:rPr>
          <w:rFonts w:cs="Tahoma"/>
        </w:rPr>
      </w:pPr>
    </w:p>
    <w:p w14:paraId="703E456B" w14:textId="69FDDDB2" w:rsidR="009C1867" w:rsidRPr="003A4991" w:rsidRDefault="009C1867" w:rsidP="009C1867">
      <w:pPr>
        <w:jc w:val="both"/>
        <w:rPr>
          <w:rFonts w:cs="Times New Roman"/>
        </w:rPr>
      </w:pPr>
      <w:r w:rsidRPr="003A4991">
        <w:rPr>
          <w:rFonts w:cs="Times New Roman"/>
        </w:rPr>
        <w:t>Przedmiot ubezpieczenia: oszklenie budynków wszystkich jednostek wymienionych</w:t>
      </w:r>
      <w:r w:rsidRPr="003A4991">
        <w:rPr>
          <w:rFonts w:cs="Times New Roman"/>
        </w:rPr>
        <w:br/>
        <w:t xml:space="preserve">w specyfikacji, inne przedmioty szklane, gabloty zewnętrznych i wewnętrznych, </w:t>
      </w:r>
      <w:r w:rsidRPr="003A4991">
        <w:rPr>
          <w:rFonts w:cs="Times New Roman"/>
          <w:color w:val="000000"/>
        </w:rPr>
        <w:t xml:space="preserve">szyby drzwiowe i okienne, oszklenia ścienne i dachowe, szklane przegrody ścienne oraz osłony kantorów, boksów i kabin </w:t>
      </w:r>
      <w:r w:rsidR="00BE4308">
        <w:rPr>
          <w:rFonts w:cs="Times New Roman"/>
          <w:color w:val="000000"/>
        </w:rPr>
        <w:t>itp. wraz z dodatkowymi kosztami druku reklamy/informacji i oklejenia szyb</w:t>
      </w:r>
      <w:r w:rsidRPr="003A4991">
        <w:rPr>
          <w:rFonts w:cs="Times New Roman"/>
        </w:rPr>
        <w:t xml:space="preserve">. </w:t>
      </w:r>
    </w:p>
    <w:p w14:paraId="1FFA1B0D" w14:textId="77777777" w:rsidR="009C1867" w:rsidRPr="003A4991" w:rsidRDefault="009C1867" w:rsidP="009C1867">
      <w:pPr>
        <w:jc w:val="both"/>
        <w:rPr>
          <w:rFonts w:cs="Times New Roman"/>
        </w:rPr>
      </w:pPr>
      <w:r w:rsidRPr="003A4991">
        <w:rPr>
          <w:rFonts w:cs="Times New Roman"/>
        </w:rPr>
        <w:t xml:space="preserve">Zakres ubezpieczenia obejmuje również koszty transportu i w uzasadnionych przypadkach – ustawienia rusztowań, bądź najmu odpowiedniego sprzętu (dźwigi, podnośniki itp.), kosztów tymczasowego zabezpieczenia – wspólny limit dla wszystkich jednostek </w:t>
      </w:r>
      <w:r>
        <w:rPr>
          <w:rFonts w:cs="Times New Roman"/>
          <w:b/>
          <w:bCs/>
        </w:rPr>
        <w:t>2</w:t>
      </w:r>
      <w:r w:rsidRPr="003A4991">
        <w:rPr>
          <w:rFonts w:cs="Times New Roman"/>
          <w:b/>
          <w:bCs/>
        </w:rPr>
        <w:t>000 zł.</w:t>
      </w:r>
    </w:p>
    <w:p w14:paraId="58EC7AE4" w14:textId="77777777" w:rsidR="009C1867" w:rsidRDefault="009C1867" w:rsidP="009C1867">
      <w:pPr>
        <w:jc w:val="both"/>
        <w:rPr>
          <w:rFonts w:cs="Times New Roman"/>
        </w:rPr>
      </w:pPr>
      <w:r w:rsidRPr="003A4991">
        <w:rPr>
          <w:rFonts w:cs="Times New Roman"/>
        </w:rPr>
        <w:t>System ubezpieczenia: pierwsze ryzyko z konsumpcją sumy ubezpieczenia</w:t>
      </w:r>
    </w:p>
    <w:p w14:paraId="03336D60" w14:textId="77777777" w:rsidR="009C1867" w:rsidRPr="006C6A68" w:rsidRDefault="009C1867" w:rsidP="009C1867">
      <w:pPr>
        <w:pStyle w:val="Akapitzlist"/>
        <w:numPr>
          <w:ilvl w:val="0"/>
          <w:numId w:val="4"/>
        </w:numPr>
        <w:jc w:val="both"/>
        <w:rPr>
          <w:rFonts w:cs="Times New Roman"/>
          <w:b/>
        </w:rPr>
      </w:pPr>
      <w:r w:rsidRPr="006C6A68">
        <w:rPr>
          <w:rFonts w:cs="Times New Roman"/>
          <w:b/>
        </w:rPr>
        <w:t>Warunki ubezpieczenia obligatoryjne</w:t>
      </w:r>
    </w:p>
    <w:p w14:paraId="66F7A89B" w14:textId="77777777" w:rsidR="009C1867" w:rsidRPr="00D151E5" w:rsidRDefault="009C1867" w:rsidP="009C18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 xml:space="preserve">Klauzula miejsca ubezpieczenia- </w:t>
      </w:r>
      <w:r>
        <w:t xml:space="preserve">z zachowaniem pozostałych nie zmienionych  niniejszą klauzulą  postanowień </w:t>
      </w:r>
      <w:proofErr w:type="spellStart"/>
      <w:r>
        <w:t>owu</w:t>
      </w:r>
      <w:proofErr w:type="spellEnd"/>
      <w:r>
        <w:t xml:space="preserve"> i innych postanowień umowy ubezpieczenia oraz niniejszej SIWZ ustala się, że ochrona ubezpieczeniowa zostaje rozszerzona na mienie spełniające warunki objęcia ubezpieczeniem zgodnie z umową ubezpieczenia znajdujące się we wszystkich nowych lokalizacjach na terytorium RP użytkowanych i administrowanych na podstawie tytułu prawnego przez Ubezpieczonego lub Ubezpieczającego. Ochroną ubezpieczeniową nie jest objęte mienie w transporcie.</w:t>
      </w:r>
    </w:p>
    <w:p w14:paraId="460C2D02" w14:textId="77777777" w:rsidR="009C1867" w:rsidRPr="005B54BF" w:rsidRDefault="009C1867" w:rsidP="009C18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5B54BF">
        <w:rPr>
          <w:b/>
        </w:rPr>
        <w:t xml:space="preserve">Klauzula ubezpieczenia nowych inwestycji- </w:t>
      </w:r>
      <w:r>
        <w:t xml:space="preserve">z zachowaniem pozostałych nie zmienionych  niniejszą klauzulą  postanowień </w:t>
      </w:r>
      <w:proofErr w:type="spellStart"/>
      <w:r>
        <w:t>owu</w:t>
      </w:r>
      <w:proofErr w:type="spellEnd"/>
      <w:r>
        <w:t xml:space="preserve"> i innych postanowień umowy ubezpieczenia oraz niniejszej SIWZ ustala się, że:</w:t>
      </w:r>
    </w:p>
    <w:p w14:paraId="5C278961" w14:textId="77777777" w:rsidR="009C1867" w:rsidRPr="00D151E5" w:rsidRDefault="009C1867" w:rsidP="009C18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/>
        </w:rPr>
      </w:pPr>
      <w:r>
        <w:t>Nowe inwestycje zostają z chwilą ich wpisu do rejestru środków trwałych automatycznie objęte ochroną ubezpieczeniową w zakresie i na zasadach określonych w umowie ubezpieczenia. Z nową inwestycję uważa się środki trwałe mogące stanowić przedmiot ubezpieczenia stosownie do zapisów umowy ubezpieczenia</w:t>
      </w:r>
    </w:p>
    <w:p w14:paraId="73CE3E67" w14:textId="77777777" w:rsidR="009C1867" w:rsidRPr="00D151E5" w:rsidRDefault="009C1867" w:rsidP="009C18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/>
        </w:rPr>
      </w:pPr>
      <w:r>
        <w:t>Zgłaszanie do ubezpieczenia nowych inwestycji, o których mowa w ust. 1 będzie odbywało się w sposób następujący: do dnia 10 danego miesiąca, Ubezpieczający poinformuje Ubezpieczyciela za pośrednictwem brokera o inwestycjach zrealizowanych i zarejestrowanych w okresie poprzedniego miesiąca.</w:t>
      </w:r>
    </w:p>
    <w:p w14:paraId="4A3CF266" w14:textId="77777777" w:rsidR="009C1867" w:rsidRPr="00D151E5" w:rsidRDefault="009C1867" w:rsidP="009C18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/>
        </w:rPr>
      </w:pPr>
      <w:r>
        <w:t>Limit odpowiedzialności w okresie ubezpieczenia dla wszystkich nowych inwestycji objętych ochroną ubezpieczeniową zgodnie z postanowieniami niniejszej klauzuli wynosi 20%</w:t>
      </w:r>
    </w:p>
    <w:p w14:paraId="1F2C0BFF" w14:textId="77777777" w:rsidR="009C1867" w:rsidRPr="005B54BF" w:rsidRDefault="009C1867" w:rsidP="009C18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/>
        </w:rPr>
      </w:pPr>
      <w:r>
        <w:t xml:space="preserve">Ubezpieczający jest zobowiązany do zapłaty dodatkowej składki za włączenie do umowy ubezpieczenia niniejszej klauzuli. Składka za każdą nową inwestycję zgłaszaną do ubezpieczenia będzie naliczana od dnia, w którym nowa inwestycja została wpisana </w:t>
      </w:r>
      <w:r>
        <w:lastRenderedPageBreak/>
        <w:t>do rejestru środków trwałych (w systemie pro rata temporis) i będzie płatna w terminie 14 dni od dnia zgłoszenia tego faktu do Ubezpieczyciela.</w:t>
      </w:r>
    </w:p>
    <w:p w14:paraId="77D50069" w14:textId="77777777" w:rsidR="009C1867" w:rsidRPr="005B54BF" w:rsidRDefault="009C1867" w:rsidP="009C1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Klauzule fakultatywne i warunki dodatkowe</w:t>
      </w:r>
    </w:p>
    <w:p w14:paraId="417DC6FD" w14:textId="77777777" w:rsidR="009C1867" w:rsidRPr="005B54BF" w:rsidRDefault="009C1867" w:rsidP="009C18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5B54BF">
        <w:rPr>
          <w:b/>
        </w:rPr>
        <w:t>Klauzula samodzielnej likwidacji szkód-</w:t>
      </w:r>
      <w:r>
        <w:t xml:space="preserve"> z zachowaniem pozostałych nie zmienionych  niniejszą klauzulą  postanowień </w:t>
      </w:r>
      <w:proofErr w:type="spellStart"/>
      <w:r>
        <w:t>owu</w:t>
      </w:r>
      <w:proofErr w:type="spellEnd"/>
      <w:r>
        <w:t xml:space="preserve"> i innych postanowień umowy ubezpieczenia oraz niniejszej SIWZ ustala się, że: w przypadku szkód wymagających natychmiastowej naprawy w celu zachowania ciągłości produkcji lub świadczenia usług dopuszcza się możliwość bezzwłocznego dokonania napraw </w:t>
      </w:r>
      <w:proofErr w:type="spellStart"/>
      <w:r>
        <w:t>t.j</w:t>
      </w:r>
      <w:proofErr w:type="spellEnd"/>
      <w:r>
        <w:t>. bezpośrednio po szkodzie przez odpowiednie przeszkolone ekipy naprawcze Ubezpieczającego lub Ubezpieczonego, bądź przez wyspecjalizowane firmy zewnętrzne działające na jego zlecenie. W przypadku tego rodzaju szkód, poza dokumentami wymaganymi zgodnie z warunkami ubezpieczenia, Ubezpieczający lub Ubezpieczony zobowiązany jest do sporządzenia i przedłożenia Ubezpieczycielowi dokumentacji zdjęciowej z miejsca szkody oraz zachowania do jego dyspozycji elementów uszkodzonych podlegających wymianie.</w:t>
      </w:r>
    </w:p>
    <w:p w14:paraId="1147A1B8" w14:textId="77777777" w:rsidR="009C1867" w:rsidRPr="005B54BF" w:rsidRDefault="009C1867" w:rsidP="009C18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5B54BF">
        <w:rPr>
          <w:b/>
        </w:rPr>
        <w:t xml:space="preserve">Klauzula niezawiadomienia w terminie o szkodzie- </w:t>
      </w:r>
      <w:r>
        <w:t xml:space="preserve">z zachowaniem pozostałych nie zmienionych  niniejszą klauzulą  postanowień </w:t>
      </w:r>
      <w:proofErr w:type="spellStart"/>
      <w:r>
        <w:t>owu</w:t>
      </w:r>
      <w:proofErr w:type="spellEnd"/>
      <w:r>
        <w:t xml:space="preserve"> i innych postanowień umowy ubezpieczenia oraz niniejszej SIWZ ustala się, że: skutkiem niezawiadomienia Ubezpieczyciela o zaistniałym wypadku ubezpieczeniowym w ustalonym w umowie ubezpieczenia terminie, może być jedynie zmniejszenie odszkodowania. Tylko i wyłącznie w sytuacji, jeżeli do naruszenia tego obowiązku doszło z winy umyślnej lub rażącego niedbalstwa, a naruszenie to przyczyniło się do zwiększenia szkody lub uniemożliwiło Ubezpieczycielowi ustalenie okoliczności i skutków wypadku.</w:t>
      </w:r>
    </w:p>
    <w:p w14:paraId="0413C01A" w14:textId="77777777" w:rsidR="009C1867" w:rsidRPr="003A4991" w:rsidRDefault="009C1867" w:rsidP="009C1867">
      <w:pPr>
        <w:jc w:val="both"/>
        <w:rPr>
          <w:rFonts w:cs="Times New Roman"/>
        </w:rPr>
      </w:pPr>
    </w:p>
    <w:p w14:paraId="04BD5807" w14:textId="77777777" w:rsidR="009C1867" w:rsidRPr="003A4991" w:rsidRDefault="009C1867" w:rsidP="009C1867">
      <w:pPr>
        <w:jc w:val="both"/>
        <w:rPr>
          <w:rFonts w:cs="Times New Roman"/>
          <w:b/>
          <w:bCs/>
        </w:rPr>
      </w:pPr>
      <w:r w:rsidRPr="003A4991">
        <w:rPr>
          <w:rFonts w:cs="Times New Roman"/>
        </w:rPr>
        <w:t>Suma ubezpieczenia:</w:t>
      </w:r>
      <w:r w:rsidRPr="003A4991">
        <w:rPr>
          <w:rFonts w:cs="Times New Roman"/>
          <w:b/>
          <w:bCs/>
        </w:rPr>
        <w:t xml:space="preserve"> </w:t>
      </w:r>
      <w:r w:rsidRPr="003A4991">
        <w:rPr>
          <w:rFonts w:cs="Times New Roman"/>
          <w:b/>
          <w:bCs/>
        </w:rPr>
        <w:tab/>
        <w:t>10 000,00 zł</w:t>
      </w:r>
    </w:p>
    <w:p w14:paraId="6EE6A8F5" w14:textId="77777777" w:rsidR="009C1867" w:rsidRPr="003A4991" w:rsidRDefault="009C1867" w:rsidP="009C1867">
      <w:r w:rsidRPr="003A4991">
        <w:t xml:space="preserve"> Franszyza redukcyjna, udział własny – </w:t>
      </w:r>
      <w:r w:rsidRPr="003A4991">
        <w:rPr>
          <w:b/>
        </w:rPr>
        <w:t>brak</w:t>
      </w:r>
    </w:p>
    <w:p w14:paraId="21ECA37C" w14:textId="77777777" w:rsidR="009C1867" w:rsidRPr="003A4991" w:rsidRDefault="009C1867" w:rsidP="009C1867">
      <w:r w:rsidRPr="003A4991">
        <w:t xml:space="preserve">Franszyza integralna – </w:t>
      </w:r>
      <w:r w:rsidRPr="003A4991">
        <w:rPr>
          <w:b/>
        </w:rPr>
        <w:t>100 zł</w:t>
      </w:r>
    </w:p>
    <w:p w14:paraId="47839201" w14:textId="77777777" w:rsidR="00702D99" w:rsidRPr="009C1867" w:rsidRDefault="00702D99" w:rsidP="009C1867"/>
    <w:sectPr w:rsidR="00702D99" w:rsidRPr="009C1867" w:rsidSect="003D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025E"/>
    <w:multiLevelType w:val="hybridMultilevel"/>
    <w:tmpl w:val="90A461EE"/>
    <w:lvl w:ilvl="0" w:tplc="600C052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87BC9"/>
    <w:multiLevelType w:val="hybridMultilevel"/>
    <w:tmpl w:val="CEB6D5F8"/>
    <w:lvl w:ilvl="0" w:tplc="54A22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B108B3"/>
    <w:multiLevelType w:val="hybridMultilevel"/>
    <w:tmpl w:val="0BD2F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23A7"/>
    <w:multiLevelType w:val="hybridMultilevel"/>
    <w:tmpl w:val="14742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99"/>
    <w:rsid w:val="000546D9"/>
    <w:rsid w:val="00316744"/>
    <w:rsid w:val="00332889"/>
    <w:rsid w:val="003D58CC"/>
    <w:rsid w:val="005F075B"/>
    <w:rsid w:val="0062575D"/>
    <w:rsid w:val="006E1B1D"/>
    <w:rsid w:val="00700FDD"/>
    <w:rsid w:val="00702D99"/>
    <w:rsid w:val="007D1FF6"/>
    <w:rsid w:val="008175CC"/>
    <w:rsid w:val="00836AE9"/>
    <w:rsid w:val="009A1E5E"/>
    <w:rsid w:val="009C1867"/>
    <w:rsid w:val="00AB0B4F"/>
    <w:rsid w:val="00AE4844"/>
    <w:rsid w:val="00AF0039"/>
    <w:rsid w:val="00B56DAB"/>
    <w:rsid w:val="00B7530A"/>
    <w:rsid w:val="00BE4308"/>
    <w:rsid w:val="00CE65D4"/>
    <w:rsid w:val="00D60DB9"/>
    <w:rsid w:val="00E3260E"/>
    <w:rsid w:val="00EB6DCD"/>
    <w:rsid w:val="00F80DB4"/>
    <w:rsid w:val="00FA689D"/>
    <w:rsid w:val="00FB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65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8CC"/>
  </w:style>
  <w:style w:type="paragraph" w:styleId="Nagwek3">
    <w:name w:val="heading 3"/>
    <w:basedOn w:val="Normalny"/>
    <w:next w:val="Wcicienormalne"/>
    <w:link w:val="Nagwek3Znak"/>
    <w:qFormat/>
    <w:rsid w:val="00702D99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02D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semiHidden/>
    <w:rsid w:val="00702D9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867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Stanisław Barchanowicz</cp:lastModifiedBy>
  <cp:revision>7</cp:revision>
  <cp:lastPrinted>2018-03-09T10:13:00Z</cp:lastPrinted>
  <dcterms:created xsi:type="dcterms:W3CDTF">2017-03-01T17:51:00Z</dcterms:created>
  <dcterms:modified xsi:type="dcterms:W3CDTF">2018-03-09T10:13:00Z</dcterms:modified>
</cp:coreProperties>
</file>